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65F91" w:themeColor="accent1" w:themeShade="BF"/>
          <w:sz w:val="22"/>
        </w:rPr>
      </w:pP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65F91" w:themeColor="accent1" w:themeShade="BF"/>
          <w:sz w:val="18"/>
        </w:rPr>
      </w:pPr>
      <w:r w:rsidRPr="00050634">
        <w:rPr>
          <w:rFonts w:ascii="Helvetica" w:hAnsi="Helvetica" w:cs="Helvetica"/>
          <w:color w:val="365F91" w:themeColor="accent1" w:themeShade="BF"/>
          <w:sz w:val="18"/>
        </w:rPr>
        <w:t>Judy Day. Chair</w:t>
      </w: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65F91" w:themeColor="accent1" w:themeShade="BF"/>
          <w:sz w:val="18"/>
        </w:rPr>
      </w:pPr>
      <w:r w:rsidRPr="00050634">
        <w:rPr>
          <w:rFonts w:ascii="Helvetica" w:hAnsi="Helvetica" w:cs="Helvetica"/>
          <w:color w:val="365F91" w:themeColor="accent1" w:themeShade="BF"/>
          <w:sz w:val="18"/>
        </w:rPr>
        <w:t>Jacqueline Brandt, Secretary</w:t>
      </w: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65F91" w:themeColor="accent1" w:themeShade="BF"/>
          <w:sz w:val="18"/>
        </w:rPr>
      </w:pPr>
      <w:r w:rsidRPr="00050634">
        <w:rPr>
          <w:rFonts w:ascii="Helvetica" w:hAnsi="Helvetica" w:cs="Helvetica"/>
          <w:color w:val="365F91" w:themeColor="accent1" w:themeShade="BF"/>
          <w:sz w:val="18"/>
        </w:rPr>
        <w:t xml:space="preserve">Susan </w:t>
      </w:r>
      <w:proofErr w:type="spellStart"/>
      <w:r w:rsidRPr="00050634">
        <w:rPr>
          <w:rFonts w:ascii="Helvetica" w:hAnsi="Helvetica" w:cs="Helvetica"/>
          <w:color w:val="365F91" w:themeColor="accent1" w:themeShade="BF"/>
          <w:sz w:val="18"/>
        </w:rPr>
        <w:t>Leonardi</w:t>
      </w:r>
      <w:proofErr w:type="spellEnd"/>
      <w:r w:rsidRPr="00050634">
        <w:rPr>
          <w:rFonts w:ascii="Helvetica" w:hAnsi="Helvetica" w:cs="Helvetica"/>
          <w:color w:val="365F91" w:themeColor="accent1" w:themeShade="BF"/>
          <w:sz w:val="18"/>
        </w:rPr>
        <w:t>, Treasurer</w:t>
      </w: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65F91" w:themeColor="accent1" w:themeShade="BF"/>
          <w:sz w:val="22"/>
        </w:rPr>
      </w:pPr>
      <w:r w:rsidRPr="00050634">
        <w:rPr>
          <w:rFonts w:ascii="Helvetica" w:hAnsi="Helvetica" w:cs="Helvetica"/>
          <w:b/>
          <w:bCs/>
          <w:color w:val="365F91" w:themeColor="accent1" w:themeShade="BF"/>
          <w:sz w:val="22"/>
        </w:rPr>
        <w:tab/>
      </w:r>
      <w:r w:rsidRPr="00050634">
        <w:rPr>
          <w:rFonts w:ascii="Helvetica" w:hAnsi="Helvetica" w:cs="Helvetica"/>
          <w:b/>
          <w:bCs/>
          <w:color w:val="365F91" w:themeColor="accent1" w:themeShade="BF"/>
          <w:sz w:val="22"/>
        </w:rPr>
        <w:tab/>
      </w:r>
      <w:r w:rsidRPr="00050634">
        <w:rPr>
          <w:rFonts w:ascii="Helvetica" w:hAnsi="Helvetica" w:cs="Helvetica"/>
          <w:b/>
          <w:bCs/>
          <w:color w:val="365F91" w:themeColor="accent1" w:themeShade="BF"/>
          <w:sz w:val="22"/>
        </w:rPr>
        <w:tab/>
      </w:r>
      <w:r w:rsidRPr="00050634">
        <w:rPr>
          <w:rFonts w:ascii="Helvetica" w:hAnsi="Helvetica" w:cs="Helvetica"/>
          <w:b/>
          <w:bCs/>
          <w:color w:val="365F91" w:themeColor="accent1" w:themeShade="BF"/>
          <w:sz w:val="22"/>
        </w:rPr>
        <w:tab/>
      </w:r>
      <w:r w:rsidRPr="00050634">
        <w:rPr>
          <w:rFonts w:ascii="Helvetica" w:hAnsi="Helvetica" w:cs="Helvetica"/>
          <w:b/>
          <w:bCs/>
          <w:color w:val="365F91" w:themeColor="accent1" w:themeShade="BF"/>
          <w:sz w:val="22"/>
        </w:rPr>
        <w:tab/>
      </w:r>
      <w:r w:rsidRPr="00050634">
        <w:rPr>
          <w:rFonts w:ascii="Helvetica" w:hAnsi="Helvetica" w:cs="Helvetica"/>
          <w:b/>
          <w:bCs/>
          <w:color w:val="365F91" w:themeColor="accent1" w:themeShade="BF"/>
          <w:sz w:val="22"/>
        </w:rPr>
        <w:tab/>
      </w:r>
      <w:r w:rsidRPr="00050634">
        <w:rPr>
          <w:rFonts w:ascii="Helvetica" w:hAnsi="Helvetica" w:cs="Helvetica"/>
          <w:b/>
          <w:bCs/>
          <w:color w:val="365F91" w:themeColor="accent1" w:themeShade="BF"/>
          <w:sz w:val="22"/>
        </w:rPr>
        <w:tab/>
      </w:r>
      <w:r w:rsidRPr="00050634">
        <w:rPr>
          <w:rFonts w:ascii="Helvetica" w:hAnsi="Helvetica" w:cs="Helvetica"/>
          <w:b/>
          <w:bCs/>
          <w:color w:val="365F91" w:themeColor="accent1" w:themeShade="BF"/>
          <w:sz w:val="22"/>
        </w:rPr>
        <w:tab/>
      </w:r>
      <w:r w:rsidRPr="00050634">
        <w:rPr>
          <w:rFonts w:ascii="Helvetica" w:hAnsi="Helvetica" w:cs="Helvetica"/>
          <w:b/>
          <w:bCs/>
          <w:color w:val="365F91" w:themeColor="accent1" w:themeShade="BF"/>
          <w:sz w:val="22"/>
        </w:rPr>
        <w:tab/>
      </w:r>
      <w:r w:rsidRPr="00050634">
        <w:rPr>
          <w:rFonts w:ascii="Helvetica" w:hAnsi="Helvetica" w:cs="Helvetica"/>
          <w:b/>
          <w:bCs/>
          <w:color w:val="365F91" w:themeColor="accent1" w:themeShade="BF"/>
          <w:sz w:val="22"/>
        </w:rPr>
        <w:tab/>
      </w:r>
      <w:r w:rsidRPr="00050634">
        <w:rPr>
          <w:rFonts w:ascii="Helvetica" w:hAnsi="Helvetica" w:cs="Helvetica"/>
          <w:b/>
          <w:bCs/>
          <w:color w:val="365F91" w:themeColor="accent1" w:themeShade="BF"/>
          <w:sz w:val="22"/>
        </w:rPr>
        <w:tab/>
      </w:r>
      <w:r w:rsidRPr="00050634">
        <w:rPr>
          <w:rFonts w:ascii="Helvetica" w:hAnsi="Helvetica" w:cs="Helvetica"/>
          <w:b/>
          <w:bCs/>
          <w:color w:val="365F91" w:themeColor="accent1" w:themeShade="BF"/>
          <w:sz w:val="22"/>
        </w:rPr>
        <w:tab/>
      </w: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365F91" w:themeColor="accent1" w:themeShade="BF"/>
          <w:sz w:val="22"/>
        </w:rPr>
      </w:pPr>
      <w:r w:rsidRPr="00050634">
        <w:rPr>
          <w:rFonts w:ascii="Helvetica" w:hAnsi="Helvetica" w:cs="Helvetica"/>
          <w:color w:val="365F91" w:themeColor="accent1" w:themeShade="BF"/>
          <w:sz w:val="22"/>
        </w:rPr>
        <w:t>Meeting Notice</w:t>
      </w: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365F91" w:themeColor="accent1" w:themeShade="BF"/>
          <w:sz w:val="22"/>
        </w:rPr>
      </w:pPr>
      <w:r w:rsidRPr="00050634">
        <w:rPr>
          <w:rFonts w:ascii="Helvetica" w:hAnsi="Helvetica" w:cs="Helvetica"/>
          <w:color w:val="365F91" w:themeColor="accent1" w:themeShade="BF"/>
          <w:sz w:val="22"/>
        </w:rPr>
        <w:t> North Hampton Public Library</w:t>
      </w: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365F91" w:themeColor="accent1" w:themeShade="BF"/>
          <w:sz w:val="22"/>
        </w:rPr>
      </w:pPr>
      <w:r w:rsidRPr="00050634">
        <w:rPr>
          <w:rFonts w:ascii="Helvetica" w:hAnsi="Helvetica" w:cs="Helvetica"/>
          <w:color w:val="365F91" w:themeColor="accent1" w:themeShade="BF"/>
          <w:sz w:val="22"/>
        </w:rPr>
        <w:t>Board of Trustees</w:t>
      </w: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365F91" w:themeColor="accent1" w:themeShade="BF"/>
          <w:sz w:val="22"/>
        </w:rPr>
      </w:pPr>
      <w:r w:rsidRPr="00050634">
        <w:rPr>
          <w:rFonts w:ascii="Helvetica" w:hAnsi="Helvetica" w:cs="Helvetica"/>
          <w:color w:val="365F91" w:themeColor="accent1" w:themeShade="BF"/>
          <w:sz w:val="22"/>
        </w:rPr>
        <w:t xml:space="preserve">Wednesday, Oct 11, 2017 </w:t>
      </w: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color w:val="365F91" w:themeColor="accent1" w:themeShade="BF"/>
          <w:sz w:val="22"/>
        </w:rPr>
      </w:pPr>
      <w:r w:rsidRPr="00050634">
        <w:rPr>
          <w:rFonts w:ascii="Helvetica" w:hAnsi="Helvetica" w:cs="Helvetica"/>
          <w:b/>
          <w:color w:val="365F91" w:themeColor="accent1" w:themeShade="BF"/>
          <w:sz w:val="22"/>
        </w:rPr>
        <w:t>5:30 P.M. North Hampton Public Library</w:t>
      </w:r>
      <w:r w:rsidR="00A2794C">
        <w:rPr>
          <w:rFonts w:ascii="Helvetica" w:hAnsi="Helvetica" w:cs="Helvetica"/>
          <w:b/>
          <w:color w:val="365F91" w:themeColor="accent1" w:themeShade="BF"/>
          <w:sz w:val="22"/>
        </w:rPr>
        <w:t xml:space="preserve"> </w:t>
      </w:r>
    </w:p>
    <w:p w:rsidR="008636C7" w:rsidRPr="00050634" w:rsidRDefault="00A2794C" w:rsidP="008636C7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color w:val="365F91" w:themeColor="accent1" w:themeShade="BF"/>
          <w:sz w:val="22"/>
        </w:rPr>
      </w:pPr>
      <w:r>
        <w:rPr>
          <w:rFonts w:ascii="Helvetica" w:hAnsi="Helvetica" w:cs="Helvetica"/>
          <w:b/>
          <w:color w:val="365F91" w:themeColor="accent1" w:themeShade="BF"/>
          <w:sz w:val="22"/>
        </w:rPr>
        <w:t>37 A Atlantic Avenue</w:t>
      </w:r>
      <w:r w:rsidR="008636C7" w:rsidRPr="00050634">
        <w:rPr>
          <w:rFonts w:ascii="Helvetica" w:hAnsi="Helvetica" w:cs="Helvetica"/>
          <w:b/>
          <w:color w:val="365F91" w:themeColor="accent1" w:themeShade="BF"/>
          <w:sz w:val="22"/>
        </w:rPr>
        <w:t xml:space="preserve"> </w:t>
      </w: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65F91" w:themeColor="accent1" w:themeShade="BF"/>
          <w:sz w:val="22"/>
        </w:rPr>
      </w:pPr>
      <w:r w:rsidRPr="00050634">
        <w:rPr>
          <w:rFonts w:ascii="Helvetica" w:hAnsi="Helvetica" w:cs="Helvetica"/>
          <w:i/>
          <w:iCs/>
          <w:color w:val="365F91" w:themeColor="accent1" w:themeShade="BF"/>
          <w:sz w:val="22"/>
          <w:szCs w:val="26"/>
        </w:rPr>
        <w:t>Agenda </w:t>
      </w: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65F91" w:themeColor="accent1" w:themeShade="BF"/>
          <w:sz w:val="22"/>
        </w:rPr>
      </w:pPr>
      <w:proofErr w:type="gramStart"/>
      <w:r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>1.  Administrative</w:t>
      </w:r>
      <w:proofErr w:type="gramEnd"/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color w:val="365F91" w:themeColor="accent1" w:themeShade="BF"/>
          <w:sz w:val="22"/>
        </w:rPr>
      </w:pPr>
      <w:r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>A.  Call to Order</w:t>
      </w: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color w:val="365F91" w:themeColor="accent1" w:themeShade="BF"/>
          <w:sz w:val="32"/>
          <w:szCs w:val="22"/>
          <w:vertAlign w:val="superscript"/>
        </w:rPr>
      </w:pPr>
      <w:r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 xml:space="preserve">B.  Approval of Sept </w:t>
      </w:r>
      <w:proofErr w:type="gramStart"/>
      <w:r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>13</w:t>
      </w:r>
      <w:r w:rsidRPr="00050634">
        <w:rPr>
          <w:rFonts w:ascii="Helvetica" w:hAnsi="Helvetica" w:cs="Helvetica"/>
          <w:color w:val="365F91" w:themeColor="accent1" w:themeShade="BF"/>
          <w:sz w:val="22"/>
          <w:szCs w:val="26"/>
          <w:vertAlign w:val="superscript"/>
        </w:rPr>
        <w:t>th</w:t>
      </w:r>
      <w:r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 xml:space="preserve">  Minutes</w:t>
      </w:r>
      <w:proofErr w:type="gramEnd"/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color w:val="365F91" w:themeColor="accent1" w:themeShade="BF"/>
          <w:sz w:val="32"/>
        </w:rPr>
      </w:pPr>
      <w:r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>C.  Library Director’s Report</w:t>
      </w: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color w:val="365F91" w:themeColor="accent1" w:themeShade="BF"/>
          <w:sz w:val="22"/>
        </w:rPr>
      </w:pPr>
      <w:r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>D.  Youth Services Report</w:t>
      </w: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color w:val="365F91" w:themeColor="accent1" w:themeShade="BF"/>
          <w:sz w:val="22"/>
        </w:rPr>
      </w:pPr>
      <w:r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>E.  Treasurer’s Report</w:t>
      </w: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65F91" w:themeColor="accent1" w:themeShade="BF"/>
          <w:sz w:val="22"/>
        </w:rPr>
      </w:pPr>
      <w:r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> </w:t>
      </w: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65F91" w:themeColor="accent1" w:themeShade="BF"/>
          <w:sz w:val="22"/>
        </w:rPr>
      </w:pPr>
      <w:r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>2.  Old Business</w:t>
      </w: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65F91" w:themeColor="accent1" w:themeShade="BF"/>
          <w:sz w:val="22"/>
          <w:szCs w:val="26"/>
        </w:rPr>
      </w:pPr>
      <w:r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 xml:space="preserve">             </w:t>
      </w:r>
      <w:proofErr w:type="gramStart"/>
      <w:r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>A  Discussion</w:t>
      </w:r>
      <w:proofErr w:type="gramEnd"/>
      <w:r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 xml:space="preserve"> of library building options—Ron </w:t>
      </w:r>
      <w:proofErr w:type="spellStart"/>
      <w:r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>Lamarre</w:t>
      </w:r>
      <w:proofErr w:type="spellEnd"/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65F91" w:themeColor="accent1" w:themeShade="BF"/>
          <w:sz w:val="22"/>
        </w:rPr>
      </w:pPr>
      <w:r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 xml:space="preserve">             B.  Strategic Plan/ Initial Goals</w:t>
      </w: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65F91" w:themeColor="accent1" w:themeShade="BF"/>
          <w:sz w:val="22"/>
        </w:rPr>
      </w:pPr>
      <w:r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 xml:space="preserve">                        1, Consider Goal Options </w:t>
      </w: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65F91" w:themeColor="accent1" w:themeShade="BF"/>
          <w:sz w:val="22"/>
          <w:szCs w:val="26"/>
        </w:rPr>
      </w:pPr>
      <w:r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>                        2. Define Goals for Clarity and Measurement </w:t>
      </w: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65F91" w:themeColor="accent1" w:themeShade="BF"/>
          <w:sz w:val="22"/>
        </w:rPr>
      </w:pPr>
      <w:r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ab/>
      </w:r>
      <w:r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ab/>
        <w:t>3.   </w:t>
      </w:r>
      <w:r w:rsidR="00E07C0C"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>Progress on Previous Strategic Plan—Susan Grant</w:t>
      </w:r>
      <w:r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>           </w:t>
      </w: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65F91" w:themeColor="accent1" w:themeShade="BF"/>
          <w:sz w:val="22"/>
        </w:rPr>
      </w:pPr>
      <w:r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 xml:space="preserve">             </w:t>
      </w:r>
      <w:r w:rsidR="00050634"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 xml:space="preserve"> </w:t>
      </w:r>
      <w:r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>C.  Review of Library Policies</w:t>
      </w: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65F91" w:themeColor="accent1" w:themeShade="BF"/>
          <w:sz w:val="22"/>
        </w:rPr>
      </w:pPr>
      <w:r w:rsidRPr="00050634">
        <w:rPr>
          <w:rFonts w:ascii="Helvetica" w:hAnsi="Helvetica" w:cs="Helvetica"/>
          <w:color w:val="365F91" w:themeColor="accent1" w:themeShade="BF"/>
          <w:sz w:val="22"/>
        </w:rPr>
        <w:tab/>
        <w:t xml:space="preserve">  D.  Review of Bylaws/ RSA 202-A</w:t>
      </w: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65F91" w:themeColor="accent1" w:themeShade="BF"/>
          <w:sz w:val="22"/>
        </w:rPr>
      </w:pPr>
      <w:r w:rsidRPr="00050634">
        <w:rPr>
          <w:rFonts w:ascii="Helvetica" w:hAnsi="Helvetica" w:cs="Helvetica"/>
          <w:color w:val="365F91" w:themeColor="accent1" w:themeShade="BF"/>
          <w:sz w:val="22"/>
        </w:rPr>
        <w:tab/>
        <w:t xml:space="preserve">  E.   Library Director’s Role Description and Evaluation</w:t>
      </w:r>
      <w:r w:rsidR="00E07C0C" w:rsidRPr="00050634">
        <w:rPr>
          <w:rFonts w:ascii="Helvetica" w:hAnsi="Helvetica" w:cs="Helvetica"/>
          <w:color w:val="365F91" w:themeColor="accent1" w:themeShade="BF"/>
          <w:sz w:val="22"/>
        </w:rPr>
        <w:t>—Progress Susan G.</w:t>
      </w: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65F91" w:themeColor="accent1" w:themeShade="BF"/>
          <w:sz w:val="22"/>
        </w:rPr>
      </w:pPr>
      <w:r w:rsidRPr="00050634">
        <w:rPr>
          <w:rFonts w:ascii="Helvetica" w:hAnsi="Helvetica" w:cs="Helvetica"/>
          <w:color w:val="365F91" w:themeColor="accent1" w:themeShade="BF"/>
          <w:sz w:val="22"/>
        </w:rPr>
        <w:tab/>
        <w:t xml:space="preserve">  F.  </w:t>
      </w: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65F91" w:themeColor="accent1" w:themeShade="BF"/>
          <w:sz w:val="22"/>
          <w:szCs w:val="26"/>
        </w:rPr>
      </w:pPr>
      <w:r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>3.   New Business</w:t>
      </w: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65F91" w:themeColor="accent1" w:themeShade="BF"/>
          <w:sz w:val="22"/>
        </w:rPr>
      </w:pPr>
      <w:r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ab/>
        <w:t>A.  Notification of Receipt of Mail</w:t>
      </w: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65F91" w:themeColor="accent1" w:themeShade="BF"/>
          <w:sz w:val="22"/>
        </w:rPr>
      </w:pPr>
      <w:r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>     </w:t>
      </w:r>
      <w:r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ab/>
        <w:t>B.  </w:t>
      </w:r>
      <w:r w:rsidR="00E07C0C"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>Update on Money Transfer/ Terry Knowles, AGs Office</w:t>
      </w:r>
    </w:p>
    <w:p w:rsidR="00E07C0C" w:rsidRPr="00050634" w:rsidRDefault="008636C7" w:rsidP="00E07C0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65F91" w:themeColor="accent1" w:themeShade="BF"/>
          <w:sz w:val="22"/>
        </w:rPr>
      </w:pPr>
      <w:r w:rsidRPr="00050634">
        <w:rPr>
          <w:rFonts w:ascii="Helvetica" w:hAnsi="Helvetica" w:cs="Helvetica"/>
          <w:color w:val="365F91" w:themeColor="accent1" w:themeShade="BF"/>
          <w:sz w:val="22"/>
        </w:rPr>
        <w:tab/>
      </w:r>
      <w:r w:rsidR="00E07C0C" w:rsidRPr="00050634">
        <w:rPr>
          <w:rFonts w:ascii="Helvetica" w:hAnsi="Helvetica" w:cs="Helvetica"/>
          <w:color w:val="365F91" w:themeColor="accent1" w:themeShade="BF"/>
          <w:sz w:val="22"/>
        </w:rPr>
        <w:t xml:space="preserve">C.  Paperwork Citizens Bank </w:t>
      </w:r>
    </w:p>
    <w:p w:rsidR="008636C7" w:rsidRPr="00050634" w:rsidRDefault="00E07C0C" w:rsidP="00E07C0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65F91" w:themeColor="accent1" w:themeShade="BF"/>
          <w:sz w:val="22"/>
          <w:szCs w:val="26"/>
        </w:rPr>
      </w:pPr>
      <w:r w:rsidRPr="00050634">
        <w:rPr>
          <w:rFonts w:ascii="Helvetica" w:hAnsi="Helvetica" w:cs="Helvetica"/>
          <w:color w:val="365F91" w:themeColor="accent1" w:themeShade="BF"/>
          <w:sz w:val="22"/>
        </w:rPr>
        <w:tab/>
        <w:t xml:space="preserve">D.  Invoice from </w:t>
      </w:r>
      <w:proofErr w:type="spellStart"/>
      <w:r w:rsidRPr="00050634">
        <w:rPr>
          <w:rFonts w:ascii="Helvetica" w:hAnsi="Helvetica" w:cs="Helvetica"/>
          <w:color w:val="365F91" w:themeColor="accent1" w:themeShade="BF"/>
          <w:sz w:val="22"/>
        </w:rPr>
        <w:t>Lavallee</w:t>
      </w:r>
      <w:proofErr w:type="spellEnd"/>
      <w:r w:rsidRPr="00050634">
        <w:rPr>
          <w:rFonts w:ascii="Helvetica" w:hAnsi="Helvetica" w:cs="Helvetica"/>
          <w:color w:val="365F91" w:themeColor="accent1" w:themeShade="BF"/>
          <w:sz w:val="22"/>
        </w:rPr>
        <w:t xml:space="preserve"> </w:t>
      </w:r>
      <w:proofErr w:type="spellStart"/>
      <w:r w:rsidRPr="00050634">
        <w:rPr>
          <w:rFonts w:ascii="Helvetica" w:hAnsi="Helvetica" w:cs="Helvetica"/>
          <w:color w:val="365F91" w:themeColor="accent1" w:themeShade="BF"/>
          <w:sz w:val="22"/>
        </w:rPr>
        <w:t>Brensinger</w:t>
      </w:r>
      <w:proofErr w:type="spellEnd"/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65F91" w:themeColor="accent1" w:themeShade="BF"/>
          <w:sz w:val="22"/>
        </w:rPr>
      </w:pPr>
      <w:r w:rsidRPr="00050634">
        <w:rPr>
          <w:rFonts w:ascii="Helvetica" w:hAnsi="Helvetica" w:cs="Helvetica"/>
          <w:color w:val="365F91" w:themeColor="accent1" w:themeShade="BF"/>
          <w:sz w:val="22"/>
        </w:rPr>
        <w:tab/>
      </w: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65F91" w:themeColor="accent1" w:themeShade="BF"/>
          <w:sz w:val="22"/>
          <w:szCs w:val="26"/>
        </w:rPr>
      </w:pPr>
      <w:r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>4.  Correspondence</w:t>
      </w:r>
    </w:p>
    <w:p w:rsidR="0077292A" w:rsidRPr="00050634" w:rsidRDefault="0077292A" w:rsidP="008636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65F91" w:themeColor="accent1" w:themeShade="BF"/>
          <w:sz w:val="22"/>
          <w:szCs w:val="26"/>
        </w:rPr>
      </w:pP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65F91" w:themeColor="accent1" w:themeShade="BF"/>
          <w:sz w:val="22"/>
        </w:rPr>
      </w:pPr>
      <w:r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>5.  Other Business</w:t>
      </w: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65F91" w:themeColor="accent1" w:themeShade="BF"/>
          <w:sz w:val="22"/>
        </w:rPr>
      </w:pPr>
      <w:r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> </w:t>
      </w: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65F91" w:themeColor="accent1" w:themeShade="BF"/>
          <w:sz w:val="22"/>
        </w:rPr>
      </w:pPr>
      <w:r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>6.  Public Comments (Please try to limit to five minutes.)</w:t>
      </w: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65F91" w:themeColor="accent1" w:themeShade="BF"/>
          <w:sz w:val="22"/>
        </w:rPr>
      </w:pPr>
      <w:r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> </w:t>
      </w: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65F91" w:themeColor="accent1" w:themeShade="BF"/>
          <w:sz w:val="22"/>
        </w:rPr>
      </w:pPr>
      <w:r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>7.  Adjournment</w:t>
      </w: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65F91" w:themeColor="accent1" w:themeShade="BF"/>
          <w:sz w:val="22"/>
        </w:rPr>
      </w:pPr>
      <w:r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> </w:t>
      </w: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65F91" w:themeColor="accent1" w:themeShade="BF"/>
          <w:sz w:val="22"/>
        </w:rPr>
      </w:pPr>
      <w:r w:rsidRPr="00050634">
        <w:rPr>
          <w:rFonts w:ascii="Helvetica" w:hAnsi="Helvetica" w:cs="Helvetica"/>
          <w:color w:val="365F91" w:themeColor="accent1" w:themeShade="BF"/>
          <w:sz w:val="22"/>
          <w:szCs w:val="26"/>
        </w:rPr>
        <w:t> </w:t>
      </w:r>
    </w:p>
    <w:p w:rsidR="008636C7" w:rsidRPr="00050634" w:rsidRDefault="008636C7" w:rsidP="008636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65F91" w:themeColor="accent1" w:themeShade="BF"/>
          <w:sz w:val="22"/>
        </w:rPr>
      </w:pPr>
    </w:p>
    <w:p w:rsidR="008636C7" w:rsidRPr="00050634" w:rsidRDefault="008636C7" w:rsidP="008636C7">
      <w:pPr>
        <w:rPr>
          <w:color w:val="365F91" w:themeColor="accent1" w:themeShade="BF"/>
          <w:sz w:val="22"/>
        </w:rPr>
      </w:pPr>
    </w:p>
    <w:p w:rsidR="008636C7" w:rsidRPr="00050634" w:rsidRDefault="008636C7" w:rsidP="008636C7">
      <w:pPr>
        <w:rPr>
          <w:color w:val="365F91" w:themeColor="accent1" w:themeShade="BF"/>
        </w:rPr>
      </w:pPr>
    </w:p>
    <w:p w:rsidR="008636C7" w:rsidRPr="00050634" w:rsidRDefault="008636C7">
      <w:pPr>
        <w:rPr>
          <w:color w:val="365F91" w:themeColor="accent1" w:themeShade="BF"/>
        </w:rPr>
      </w:pPr>
    </w:p>
    <w:sectPr w:rsidR="008636C7" w:rsidRPr="00050634" w:rsidSect="008636C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636C7"/>
    <w:rsid w:val="00050634"/>
    <w:rsid w:val="0077292A"/>
    <w:rsid w:val="008636C7"/>
    <w:rsid w:val="00A2794C"/>
    <w:rsid w:val="00E07C0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251</Words>
  <Characters>1083</Characters>
  <Application>Microsoft Word 12.0.0</Application>
  <DocSecurity>0</DocSecurity>
  <Lines>30</Lines>
  <Paragraphs>10</Paragraphs>
  <ScaleCrop>false</ScaleCrop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 Day</dc:creator>
  <cp:keywords/>
  <cp:lastModifiedBy>Judith  Day</cp:lastModifiedBy>
  <cp:revision>3</cp:revision>
  <cp:lastPrinted>2017-10-03T11:10:00Z</cp:lastPrinted>
  <dcterms:created xsi:type="dcterms:W3CDTF">2017-10-03T10:44:00Z</dcterms:created>
  <dcterms:modified xsi:type="dcterms:W3CDTF">2017-10-04T19:58:00Z</dcterms:modified>
</cp:coreProperties>
</file>