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6D61F" w14:textId="50E8186A" w:rsidR="00356840" w:rsidRDefault="00926D09">
      <w:pPr>
        <w:tabs>
          <w:tab w:val="center" w:pos="4680"/>
        </w:tabs>
        <w:rPr>
          <w:rFonts w:cs="Book Antiqua"/>
          <w:b/>
          <w:bCs/>
          <w:sz w:val="32"/>
          <w:szCs w:val="32"/>
        </w:rPr>
      </w:pPr>
      <w:bookmarkStart w:id="0" w:name="QuickMark"/>
      <w:bookmarkStart w:id="1" w:name="_GoBack"/>
      <w:bookmarkEnd w:id="0"/>
      <w:bookmarkEnd w:id="1"/>
      <w:r>
        <w:tab/>
      </w:r>
      <w:r>
        <w:rPr>
          <w:rFonts w:cs="Book Antiqua"/>
          <w:b/>
          <w:bCs/>
          <w:sz w:val="32"/>
          <w:szCs w:val="32"/>
        </w:rPr>
        <w:t>MEMO</w:t>
      </w:r>
      <w:r w:rsidR="00356840">
        <w:rPr>
          <w:rFonts w:cs="Book Antiqua"/>
          <w:b/>
          <w:bCs/>
          <w:sz w:val="32"/>
          <w:szCs w:val="32"/>
        </w:rPr>
        <w:t>R</w:t>
      </w:r>
      <w:r w:rsidR="002A2A63">
        <w:rPr>
          <w:rFonts w:cs="Book Antiqua"/>
          <w:b/>
          <w:bCs/>
          <w:sz w:val="32"/>
          <w:szCs w:val="32"/>
        </w:rPr>
        <w:t>A</w:t>
      </w:r>
      <w:r w:rsidR="00356840">
        <w:rPr>
          <w:rFonts w:cs="Book Antiqua"/>
          <w:b/>
          <w:bCs/>
          <w:sz w:val="32"/>
          <w:szCs w:val="32"/>
        </w:rPr>
        <w:t>NDUM</w:t>
      </w:r>
    </w:p>
    <w:p w14:paraId="7C512B6A" w14:textId="77777777" w:rsidR="00926D09" w:rsidRDefault="00926D09">
      <w:pPr>
        <w:tabs>
          <w:tab w:val="left" w:pos="-1080"/>
          <w:tab w:val="left" w:pos="-720"/>
          <w:tab w:val="left" w:pos="0"/>
          <w:tab w:val="left" w:pos="1440"/>
        </w:tabs>
        <w:rPr>
          <w:rFonts w:cs="Book Antiqua"/>
        </w:rPr>
      </w:pPr>
    </w:p>
    <w:p w14:paraId="50FB7EA3" w14:textId="7EDCC4E9" w:rsidR="00926D09" w:rsidRDefault="00926D09" w:rsidP="00E903D5">
      <w:pPr>
        <w:tabs>
          <w:tab w:val="left" w:pos="-1080"/>
          <w:tab w:val="left" w:pos="-720"/>
          <w:tab w:val="left" w:pos="0"/>
          <w:tab w:val="left" w:pos="1440"/>
        </w:tabs>
        <w:ind w:left="1440" w:hanging="1440"/>
        <w:rPr>
          <w:rFonts w:cs="Book Antiqua"/>
        </w:rPr>
      </w:pPr>
      <w:r>
        <w:rPr>
          <w:rFonts w:cs="Book Antiqua"/>
        </w:rPr>
        <w:t>To:</w:t>
      </w:r>
      <w:r>
        <w:rPr>
          <w:rFonts w:cs="Book Antiqua"/>
        </w:rPr>
        <w:tab/>
      </w:r>
      <w:bookmarkStart w:id="2" w:name="a1"/>
      <w:bookmarkEnd w:id="2"/>
      <w:r w:rsidR="00B7660B">
        <w:rPr>
          <w:rFonts w:cs="Book Antiqua"/>
        </w:rPr>
        <w:t>Jim Maggiore</w:t>
      </w:r>
    </w:p>
    <w:p w14:paraId="767B0BF6" w14:textId="39B76216" w:rsidR="00B7660B" w:rsidRDefault="00B7660B" w:rsidP="00E903D5">
      <w:pPr>
        <w:tabs>
          <w:tab w:val="left" w:pos="-1080"/>
          <w:tab w:val="left" w:pos="-720"/>
          <w:tab w:val="left" w:pos="0"/>
          <w:tab w:val="left" w:pos="1440"/>
        </w:tabs>
        <w:ind w:left="1440" w:hanging="1440"/>
        <w:rPr>
          <w:rFonts w:cs="Book Antiqua"/>
        </w:rPr>
      </w:pPr>
      <w:r>
        <w:rPr>
          <w:rFonts w:cs="Book Antiqua"/>
        </w:rPr>
        <w:tab/>
        <w:t>Chair, Select Board, Town of North Hampton</w:t>
      </w:r>
      <w:r>
        <w:rPr>
          <w:rFonts w:cs="Book Antiqua"/>
        </w:rPr>
        <w:tab/>
      </w:r>
    </w:p>
    <w:p w14:paraId="45998CFF" w14:textId="21B24F26" w:rsidR="00926D09" w:rsidRDefault="00926D09" w:rsidP="00E903D5">
      <w:pPr>
        <w:tabs>
          <w:tab w:val="left" w:pos="-1080"/>
          <w:tab w:val="left" w:pos="-720"/>
          <w:tab w:val="left" w:pos="0"/>
          <w:tab w:val="left" w:pos="1440"/>
        </w:tabs>
        <w:ind w:left="1440" w:hanging="1440"/>
        <w:rPr>
          <w:rFonts w:cs="Book Antiqua"/>
        </w:rPr>
      </w:pPr>
      <w:r>
        <w:rPr>
          <w:rFonts w:cs="Book Antiqua"/>
        </w:rPr>
        <w:t>From:</w:t>
      </w:r>
      <w:r>
        <w:rPr>
          <w:rFonts w:cs="Book Antiqua"/>
        </w:rPr>
        <w:tab/>
      </w:r>
      <w:bookmarkStart w:id="3" w:name="a2"/>
      <w:bookmarkEnd w:id="3"/>
      <w:r w:rsidR="00EC30F3">
        <w:rPr>
          <w:rFonts w:cs="Book Antiqua"/>
        </w:rPr>
        <w:t>Stephen M. Bennett</w:t>
      </w:r>
    </w:p>
    <w:p w14:paraId="076F9090" w14:textId="150B403E" w:rsidR="00926D09" w:rsidRDefault="00926D09" w:rsidP="00E903D5">
      <w:pPr>
        <w:tabs>
          <w:tab w:val="left" w:pos="-1080"/>
          <w:tab w:val="left" w:pos="-720"/>
          <w:tab w:val="left" w:pos="0"/>
          <w:tab w:val="left" w:pos="1440"/>
        </w:tabs>
        <w:ind w:left="1440" w:hanging="1440"/>
        <w:rPr>
          <w:rFonts w:cs="Book Antiqua"/>
        </w:rPr>
      </w:pPr>
      <w:r>
        <w:rPr>
          <w:rFonts w:cs="Book Antiqua"/>
        </w:rPr>
        <w:t>Date:</w:t>
      </w:r>
      <w:r>
        <w:rPr>
          <w:rFonts w:cs="Book Antiqua"/>
        </w:rPr>
        <w:tab/>
      </w:r>
      <w:r w:rsidR="00B7660B">
        <w:rPr>
          <w:rFonts w:cs="Book Antiqua"/>
        </w:rPr>
        <w:t>November 19</w:t>
      </w:r>
      <w:r w:rsidR="00EC30F3">
        <w:rPr>
          <w:rFonts w:cs="Book Antiqua"/>
        </w:rPr>
        <w:t>, 2019</w:t>
      </w:r>
    </w:p>
    <w:p w14:paraId="33CE5280" w14:textId="7A45B05D" w:rsidR="009932E9" w:rsidRDefault="00926D09" w:rsidP="00E903D5">
      <w:pPr>
        <w:tabs>
          <w:tab w:val="left" w:pos="-1080"/>
          <w:tab w:val="left" w:pos="-720"/>
          <w:tab w:val="left" w:pos="0"/>
          <w:tab w:val="left" w:pos="1440"/>
        </w:tabs>
        <w:ind w:left="1440" w:hanging="1440"/>
        <w:rPr>
          <w:rFonts w:cs="Book Antiqua"/>
        </w:rPr>
      </w:pPr>
      <w:r>
        <w:rPr>
          <w:rFonts w:cs="Book Antiqua"/>
        </w:rPr>
        <w:t>Re:</w:t>
      </w:r>
      <w:r>
        <w:rPr>
          <w:rFonts w:cs="Book Antiqua"/>
        </w:rPr>
        <w:tab/>
      </w:r>
      <w:bookmarkStart w:id="4" w:name="a3"/>
      <w:bookmarkEnd w:id="4"/>
      <w:r w:rsidR="00361403">
        <w:rPr>
          <w:rFonts w:cs="Book Antiqua"/>
        </w:rPr>
        <w:t>Library</w:t>
      </w:r>
      <w:r w:rsidR="00B7660B">
        <w:rPr>
          <w:rFonts w:cs="Book Antiqua"/>
        </w:rPr>
        <w:t xml:space="preserve"> Property</w:t>
      </w:r>
    </w:p>
    <w:p w14:paraId="0D3FC9CD" w14:textId="77777777" w:rsidR="009932E9" w:rsidRDefault="009932E9" w:rsidP="009932E9">
      <w:pPr>
        <w:pBdr>
          <w:bottom w:val="single" w:sz="6" w:space="1" w:color="auto"/>
        </w:pBdr>
        <w:tabs>
          <w:tab w:val="left" w:pos="-1080"/>
          <w:tab w:val="left" w:pos="-720"/>
          <w:tab w:val="left" w:pos="0"/>
          <w:tab w:val="left" w:pos="1440"/>
        </w:tabs>
        <w:ind w:left="1440" w:hanging="1440"/>
        <w:rPr>
          <w:rFonts w:cs="Book Antiqua"/>
        </w:rPr>
      </w:pPr>
    </w:p>
    <w:p w14:paraId="632D7405" w14:textId="27234875" w:rsidR="009932E9" w:rsidRDefault="009932E9" w:rsidP="009932E9">
      <w:pPr>
        <w:tabs>
          <w:tab w:val="left" w:pos="-1080"/>
          <w:tab w:val="left" w:pos="-720"/>
          <w:tab w:val="left" w:pos="0"/>
          <w:tab w:val="left" w:pos="1440"/>
        </w:tabs>
        <w:ind w:left="1440" w:hanging="1440"/>
        <w:rPr>
          <w:rFonts w:cs="Book Antiqua"/>
        </w:rPr>
      </w:pPr>
    </w:p>
    <w:p w14:paraId="0F9F8939" w14:textId="50C833AB" w:rsidR="00B7660B" w:rsidRDefault="00B7660B" w:rsidP="009932E9">
      <w:pPr>
        <w:tabs>
          <w:tab w:val="left" w:pos="-1080"/>
          <w:tab w:val="left" w:pos="-720"/>
          <w:tab w:val="left" w:pos="0"/>
          <w:tab w:val="left" w:pos="1440"/>
        </w:tabs>
        <w:ind w:left="1440" w:hanging="1440"/>
        <w:rPr>
          <w:rFonts w:cs="Book Antiqua"/>
        </w:rPr>
      </w:pPr>
      <w:r>
        <w:rPr>
          <w:rFonts w:cs="Book Antiqua"/>
        </w:rPr>
        <w:t>Dear Chairman Maggiore,</w:t>
      </w:r>
    </w:p>
    <w:p w14:paraId="2B73005D" w14:textId="75E1B012" w:rsidR="00ED7164" w:rsidRDefault="00ED7164" w:rsidP="009932E9">
      <w:pPr>
        <w:tabs>
          <w:tab w:val="left" w:pos="-1080"/>
          <w:tab w:val="left" w:pos="-720"/>
          <w:tab w:val="left" w:pos="0"/>
          <w:tab w:val="left" w:pos="1440"/>
        </w:tabs>
        <w:ind w:left="1440" w:hanging="1440"/>
        <w:rPr>
          <w:rFonts w:cs="Book Antiqua"/>
        </w:rPr>
      </w:pPr>
    </w:p>
    <w:p w14:paraId="6E2C9CE5" w14:textId="1F0B52AC" w:rsidR="00ED7164" w:rsidRDefault="00ED7164" w:rsidP="00ED7164">
      <w:pPr>
        <w:ind w:firstLine="720"/>
        <w:rPr>
          <w:rFonts w:cs="Book Antiqua"/>
        </w:rPr>
      </w:pPr>
      <w:r>
        <w:rPr>
          <w:rFonts w:cs="Book Antiqua"/>
        </w:rPr>
        <w:t>Please accept this memorandum as our response to your email of October 21, 2019 regarding the library property.</w:t>
      </w:r>
    </w:p>
    <w:p w14:paraId="106F4DC7" w14:textId="1907951A" w:rsidR="00ED7164" w:rsidRDefault="00ED7164" w:rsidP="00ED7164">
      <w:pPr>
        <w:ind w:firstLine="720"/>
        <w:rPr>
          <w:rFonts w:cs="Book Antiqua"/>
        </w:rPr>
      </w:pPr>
    </w:p>
    <w:p w14:paraId="682CEC83" w14:textId="77777777" w:rsidR="00ED7164" w:rsidRPr="00ED7164" w:rsidRDefault="00ED7164" w:rsidP="00ED7164">
      <w:pPr>
        <w:pStyle w:val="ListParagraph"/>
        <w:numPr>
          <w:ilvl w:val="0"/>
          <w:numId w:val="4"/>
        </w:numPr>
        <w:ind w:left="720" w:hanging="720"/>
        <w:rPr>
          <w:rFonts w:cs="Book Antiqua"/>
          <w:b/>
          <w:bCs/>
        </w:rPr>
      </w:pPr>
      <w:r w:rsidRPr="00ED7164">
        <w:rPr>
          <w:rFonts w:cs="Book Antiqua"/>
          <w:b/>
          <w:bCs/>
        </w:rPr>
        <w:t>Is “property” in your August 15 memo ‘… all property of the town relating thereto …,” land?</w:t>
      </w:r>
    </w:p>
    <w:p w14:paraId="5518A260" w14:textId="0442F955" w:rsidR="00ED7164" w:rsidRDefault="00ED7164" w:rsidP="00ED7164">
      <w:pPr>
        <w:rPr>
          <w:rFonts w:cs="Book Antiqua"/>
        </w:rPr>
      </w:pPr>
    </w:p>
    <w:p w14:paraId="1863D399" w14:textId="68877B31" w:rsidR="00ED7164" w:rsidRDefault="00ED7164" w:rsidP="00ED7164">
      <w:pPr>
        <w:ind w:left="720"/>
        <w:rPr>
          <w:rFonts w:cs="Book Antiqua"/>
        </w:rPr>
      </w:pPr>
      <w:r>
        <w:rPr>
          <w:rFonts w:cs="Book Antiqua"/>
        </w:rPr>
        <w:t xml:space="preserve">All property of the </w:t>
      </w:r>
      <w:r w:rsidR="00AF098A">
        <w:rPr>
          <w:rFonts w:cs="Book Antiqua"/>
        </w:rPr>
        <w:t>T</w:t>
      </w:r>
      <w:r>
        <w:rPr>
          <w:rFonts w:cs="Book Antiqua"/>
        </w:rPr>
        <w:t xml:space="preserve">own relating to the library would include land and buildings dedicated to library use.  </w:t>
      </w:r>
    </w:p>
    <w:p w14:paraId="103D0D91" w14:textId="113E2FD9" w:rsidR="00ED7164" w:rsidRDefault="00ED7164" w:rsidP="00ED7164">
      <w:pPr>
        <w:ind w:left="720"/>
        <w:rPr>
          <w:rFonts w:cs="Book Antiqua"/>
        </w:rPr>
      </w:pPr>
    </w:p>
    <w:p w14:paraId="52EFB6B3" w14:textId="4CE9B2A1" w:rsidR="00ED7164" w:rsidRPr="00ED7164" w:rsidRDefault="00ED7164" w:rsidP="00ED7164">
      <w:pPr>
        <w:rPr>
          <w:rFonts w:cs="Book Antiqua"/>
        </w:rPr>
      </w:pPr>
      <w:r>
        <w:rPr>
          <w:rFonts w:cs="Book Antiqua"/>
        </w:rPr>
        <w:tab/>
        <w:t xml:space="preserve">    </w:t>
      </w:r>
      <w:r>
        <w:rPr>
          <w:rFonts w:cs="Book Antiqua"/>
        </w:rPr>
        <w:tab/>
      </w:r>
      <w:r w:rsidRPr="00ED7164">
        <w:rPr>
          <w:rFonts w:cs="Book Antiqua"/>
        </w:rPr>
        <w:t xml:space="preserve"> </w:t>
      </w:r>
    </w:p>
    <w:p w14:paraId="56047653" w14:textId="01F7431D" w:rsidR="00B7660B" w:rsidRPr="00ED7164" w:rsidRDefault="00ED7164" w:rsidP="00ED7164">
      <w:pPr>
        <w:pStyle w:val="ListParagraph"/>
        <w:numPr>
          <w:ilvl w:val="0"/>
          <w:numId w:val="4"/>
        </w:numPr>
        <w:ind w:left="720" w:hanging="720"/>
        <w:rPr>
          <w:rFonts w:cs="Book Antiqua"/>
          <w:b/>
          <w:bCs/>
        </w:rPr>
      </w:pPr>
      <w:r w:rsidRPr="00ED7164">
        <w:rPr>
          <w:rFonts w:cs="Book Antiqua"/>
          <w:b/>
          <w:bCs/>
        </w:rPr>
        <w:t>What RSA provides the rights of library trustees to own land?</w:t>
      </w:r>
    </w:p>
    <w:p w14:paraId="15A2CCBF" w14:textId="05D65B13" w:rsidR="00B7660B" w:rsidRDefault="00B7660B" w:rsidP="00B7660B">
      <w:pPr>
        <w:tabs>
          <w:tab w:val="left" w:pos="-1080"/>
          <w:tab w:val="left" w:pos="-720"/>
          <w:tab w:val="left" w:pos="0"/>
          <w:tab w:val="left" w:pos="720"/>
        </w:tabs>
        <w:ind w:left="900" w:hanging="900"/>
        <w:rPr>
          <w:rFonts w:cs="Book Antiqua"/>
        </w:rPr>
      </w:pPr>
      <w:r>
        <w:rPr>
          <w:rFonts w:cs="Book Antiqua"/>
        </w:rPr>
        <w:t xml:space="preserve">    </w:t>
      </w:r>
      <w:r>
        <w:rPr>
          <w:rFonts w:cs="Book Antiqua"/>
        </w:rPr>
        <w:tab/>
      </w:r>
      <w:r>
        <w:rPr>
          <w:rFonts w:cs="Book Antiqua"/>
        </w:rPr>
        <w:tab/>
      </w:r>
    </w:p>
    <w:p w14:paraId="5C563682" w14:textId="71A4FAFD" w:rsidR="00B7660B" w:rsidRDefault="00ED7164" w:rsidP="00ED7164">
      <w:pPr>
        <w:ind w:left="720"/>
        <w:rPr>
          <w:rFonts w:cs="Book Antiqua"/>
        </w:rPr>
      </w:pPr>
      <w:r>
        <w:rPr>
          <w:rFonts w:cs="Book Antiqua"/>
        </w:rPr>
        <w:t>RSA 202-</w:t>
      </w:r>
      <w:proofErr w:type="gramStart"/>
      <w:r>
        <w:rPr>
          <w:rFonts w:cs="Book Antiqua"/>
        </w:rPr>
        <w:t>A</w:t>
      </w:r>
      <w:proofErr w:type="gramEnd"/>
      <w:r>
        <w:rPr>
          <w:rFonts w:cs="Book Antiqua"/>
        </w:rPr>
        <w:t xml:space="preserve"> et seq. does not address land ownership.  This chapter addresses who controls the land which the town has dedicated for library use.  The library </w:t>
      </w:r>
      <w:proofErr w:type="gramStart"/>
      <w:r>
        <w:rPr>
          <w:rFonts w:cs="Book Antiqua"/>
        </w:rPr>
        <w:t>trustees</w:t>
      </w:r>
      <w:proofErr w:type="gramEnd"/>
      <w:r>
        <w:rPr>
          <w:rFonts w:cs="Book Antiqua"/>
        </w:rPr>
        <w:t xml:space="preserve"> have the “entire custody and management of the public library and of all property of the town relating thereto.”  RSA 202-A</w:t>
      </w:r>
      <w:proofErr w:type="gramStart"/>
      <w:r>
        <w:rPr>
          <w:rFonts w:cs="Book Antiqua"/>
        </w:rPr>
        <w:t>:6</w:t>
      </w:r>
      <w:proofErr w:type="gramEnd"/>
      <w:r>
        <w:rPr>
          <w:rFonts w:cs="Book Antiqua"/>
        </w:rPr>
        <w:t>.</w:t>
      </w:r>
    </w:p>
    <w:p w14:paraId="3547BED4" w14:textId="1C708E14" w:rsidR="00B7660B" w:rsidRDefault="00B7660B" w:rsidP="009932E9">
      <w:pPr>
        <w:tabs>
          <w:tab w:val="left" w:pos="-1080"/>
          <w:tab w:val="left" w:pos="-720"/>
          <w:tab w:val="left" w:pos="0"/>
          <w:tab w:val="left" w:pos="1440"/>
        </w:tabs>
        <w:ind w:left="1440" w:hanging="1440"/>
        <w:rPr>
          <w:rFonts w:cs="Book Antiqua"/>
        </w:rPr>
      </w:pPr>
    </w:p>
    <w:p w14:paraId="25075E8C" w14:textId="26C2ED10" w:rsidR="00B7660B" w:rsidRDefault="00B7660B" w:rsidP="009932E9">
      <w:pPr>
        <w:tabs>
          <w:tab w:val="left" w:pos="-1080"/>
          <w:tab w:val="left" w:pos="-720"/>
          <w:tab w:val="left" w:pos="0"/>
          <w:tab w:val="left" w:pos="1440"/>
        </w:tabs>
        <w:ind w:left="1440" w:hanging="1440"/>
        <w:rPr>
          <w:rFonts w:cs="Book Antiqua"/>
        </w:rPr>
      </w:pPr>
    </w:p>
    <w:p w14:paraId="1F0D4E3D" w14:textId="05DE64F9" w:rsidR="00B7660B" w:rsidRPr="00ED7164" w:rsidRDefault="00ED7164" w:rsidP="00ED7164">
      <w:pPr>
        <w:pStyle w:val="ListParagraph"/>
        <w:numPr>
          <w:ilvl w:val="0"/>
          <w:numId w:val="4"/>
        </w:numPr>
        <w:ind w:left="720" w:hanging="720"/>
        <w:rPr>
          <w:rFonts w:cs="Book Antiqua"/>
          <w:b/>
          <w:bCs/>
        </w:rPr>
      </w:pPr>
      <w:r w:rsidRPr="00ED7164">
        <w:rPr>
          <w:rFonts w:cs="Book Antiqua"/>
          <w:b/>
          <w:bCs/>
        </w:rPr>
        <w:t>Does case law exist where library trustees have been given the authority to acquire land?</w:t>
      </w:r>
    </w:p>
    <w:p w14:paraId="191FF432" w14:textId="79E7E2AD" w:rsidR="00B7660B" w:rsidRDefault="00B7660B" w:rsidP="009932E9">
      <w:pPr>
        <w:tabs>
          <w:tab w:val="left" w:pos="-1080"/>
          <w:tab w:val="left" w:pos="-720"/>
          <w:tab w:val="left" w:pos="0"/>
          <w:tab w:val="left" w:pos="1440"/>
        </w:tabs>
        <w:ind w:left="1440" w:hanging="1440"/>
        <w:rPr>
          <w:rFonts w:cs="Book Antiqua"/>
        </w:rPr>
      </w:pPr>
    </w:p>
    <w:p w14:paraId="5AA70B15" w14:textId="5E6D4BAC" w:rsidR="00B7660B" w:rsidRDefault="00ED7164" w:rsidP="00ED7164">
      <w:pPr>
        <w:ind w:left="720"/>
        <w:rPr>
          <w:rFonts w:cs="Book Antiqua"/>
        </w:rPr>
      </w:pPr>
      <w:r>
        <w:rPr>
          <w:rFonts w:cs="Book Antiqua"/>
        </w:rPr>
        <w:t xml:space="preserve">I have found no New Hampshire case law regarding the acquisition and ownership of land by library trustees.  But, as noted above, once land is dedicated for library use, the </w:t>
      </w:r>
      <w:r w:rsidR="00316C17">
        <w:rPr>
          <w:rFonts w:cs="Book Antiqua"/>
        </w:rPr>
        <w:t>control of that land lies with the trustees of the library.</w:t>
      </w:r>
    </w:p>
    <w:p w14:paraId="21FCE34C" w14:textId="7DA89DF7" w:rsidR="00316C17" w:rsidRDefault="00316C17" w:rsidP="00ED7164">
      <w:pPr>
        <w:ind w:left="720"/>
        <w:rPr>
          <w:rFonts w:cs="Book Antiqua"/>
        </w:rPr>
      </w:pPr>
    </w:p>
    <w:p w14:paraId="3327983B" w14:textId="7E132590" w:rsidR="00AF098A" w:rsidRPr="00AF098A" w:rsidRDefault="00AF098A" w:rsidP="00316C17">
      <w:pPr>
        <w:pStyle w:val="ListParagraph"/>
        <w:numPr>
          <w:ilvl w:val="0"/>
          <w:numId w:val="4"/>
        </w:numPr>
        <w:ind w:left="720" w:hanging="720"/>
        <w:rPr>
          <w:rFonts w:cs="Book Antiqua"/>
        </w:rPr>
      </w:pPr>
      <w:r>
        <w:rPr>
          <w:rFonts w:cs="Book Antiqua"/>
          <w:b/>
          <w:bCs/>
        </w:rPr>
        <w:t>If in fact the library trustees have the rights to own actual land, how are the trustees granted the rights to acquire additional land?</w:t>
      </w:r>
    </w:p>
    <w:p w14:paraId="3F94F841" w14:textId="7AE37C9B" w:rsidR="00AF098A" w:rsidRDefault="00AF098A" w:rsidP="00AF098A">
      <w:pPr>
        <w:ind w:left="720"/>
        <w:rPr>
          <w:rFonts w:cs="Book Antiqua"/>
        </w:rPr>
      </w:pPr>
    </w:p>
    <w:p w14:paraId="48C1183F" w14:textId="77DB4D0B" w:rsidR="00316C17" w:rsidRPr="00AF098A" w:rsidRDefault="00316C17" w:rsidP="00AF098A">
      <w:pPr>
        <w:ind w:left="720"/>
        <w:rPr>
          <w:rFonts w:cs="Book Antiqua"/>
        </w:rPr>
      </w:pPr>
      <w:r w:rsidRPr="00AF098A">
        <w:rPr>
          <w:rFonts w:cs="Book Antiqua"/>
        </w:rPr>
        <w:t>See answer to question 3.</w:t>
      </w:r>
    </w:p>
    <w:p w14:paraId="660A9ACE" w14:textId="23D37993" w:rsidR="00316C17" w:rsidRDefault="00316C17" w:rsidP="00316C17">
      <w:pPr>
        <w:rPr>
          <w:rFonts w:cs="Book Antiqua"/>
        </w:rPr>
      </w:pPr>
    </w:p>
    <w:p w14:paraId="02EBB5BA" w14:textId="0DB901F8" w:rsidR="00316C17" w:rsidRDefault="00316C17" w:rsidP="00316C17">
      <w:pPr>
        <w:rPr>
          <w:rFonts w:cs="Book Antiqua"/>
        </w:rPr>
      </w:pPr>
    </w:p>
    <w:p w14:paraId="0D8D3806" w14:textId="7DAB091B" w:rsidR="00E903D5" w:rsidRDefault="00E903D5" w:rsidP="00316C17">
      <w:pPr>
        <w:rPr>
          <w:rFonts w:cs="Book Antiqua"/>
        </w:rPr>
      </w:pPr>
    </w:p>
    <w:p w14:paraId="2589433A" w14:textId="77777777" w:rsidR="00E903D5" w:rsidRPr="00316C17" w:rsidRDefault="00E903D5" w:rsidP="00316C17">
      <w:pPr>
        <w:rPr>
          <w:rFonts w:cs="Book Antiqua"/>
        </w:rPr>
      </w:pPr>
    </w:p>
    <w:p w14:paraId="507F4A71" w14:textId="11C91FE6" w:rsidR="00316C17" w:rsidRDefault="00316C17" w:rsidP="00316C17">
      <w:pPr>
        <w:rPr>
          <w:rFonts w:cs="Book Antiqua"/>
        </w:rPr>
      </w:pPr>
    </w:p>
    <w:p w14:paraId="6BD978D1" w14:textId="1FB3A704" w:rsidR="00316C17" w:rsidRPr="00316C17" w:rsidRDefault="00316C17" w:rsidP="00316C17">
      <w:pPr>
        <w:pStyle w:val="ListParagraph"/>
        <w:numPr>
          <w:ilvl w:val="0"/>
          <w:numId w:val="4"/>
        </w:numPr>
        <w:ind w:left="720" w:hanging="720"/>
        <w:rPr>
          <w:rFonts w:cs="Book Antiqua"/>
          <w:b/>
          <w:bCs/>
        </w:rPr>
      </w:pPr>
      <w:r w:rsidRPr="00316C17">
        <w:rPr>
          <w:rFonts w:cs="Book Antiqua"/>
          <w:b/>
          <w:bCs/>
        </w:rPr>
        <w:t>What are the limits to disturbing the land on abutting property if the trustees have the right to build up to the property line?</w:t>
      </w:r>
    </w:p>
    <w:p w14:paraId="56479F59" w14:textId="27A75253" w:rsidR="00356840" w:rsidRDefault="00361403" w:rsidP="00B7660B">
      <w:pPr>
        <w:rPr>
          <w:b/>
          <w:bCs/>
          <w:color w:val="000000"/>
        </w:rPr>
      </w:pPr>
      <w:r w:rsidRPr="00316C17">
        <w:rPr>
          <w:b/>
          <w:bCs/>
          <w:color w:val="000000"/>
        </w:rPr>
        <w:tab/>
      </w:r>
    </w:p>
    <w:p w14:paraId="0F75A784" w14:textId="308DE284" w:rsidR="00316C17" w:rsidRDefault="00316C17" w:rsidP="00316C17">
      <w:pPr>
        <w:ind w:left="720"/>
        <w:rPr>
          <w:color w:val="000000"/>
        </w:rPr>
      </w:pPr>
      <w:r w:rsidRPr="00316C17">
        <w:rPr>
          <w:color w:val="000000"/>
        </w:rPr>
        <w:t>Abutting landowners</w:t>
      </w:r>
      <w:r>
        <w:rPr>
          <w:color w:val="000000"/>
        </w:rPr>
        <w:t xml:space="preserve"> have no legal right to interfere with the property rights of abutting landowners.  As I noted in my prior memorandum, generally abutting landowners will seek temporary easements to permit access </w:t>
      </w:r>
      <w:r w:rsidR="008236F6">
        <w:rPr>
          <w:color w:val="000000"/>
        </w:rPr>
        <w:t xml:space="preserve">during </w:t>
      </w:r>
      <w:r>
        <w:rPr>
          <w:color w:val="000000"/>
        </w:rPr>
        <w:t>construction on their property.  Once the project is complete</w:t>
      </w:r>
      <w:r w:rsidR="008236F6">
        <w:rPr>
          <w:color w:val="000000"/>
        </w:rPr>
        <w:t>,</w:t>
      </w:r>
      <w:r>
        <w:rPr>
          <w:color w:val="000000"/>
        </w:rPr>
        <w:t xml:space="preserve"> the terms of the easement generally require that the land be put back in the condition it was prior to the project.  </w:t>
      </w:r>
    </w:p>
    <w:p w14:paraId="60D15BE4" w14:textId="77777777" w:rsidR="00316C17" w:rsidRPr="00316C17" w:rsidRDefault="00316C17" w:rsidP="00316C17">
      <w:pPr>
        <w:ind w:left="720"/>
        <w:rPr>
          <w:b/>
          <w:bCs/>
          <w:color w:val="000000"/>
        </w:rPr>
      </w:pPr>
    </w:p>
    <w:p w14:paraId="63968377" w14:textId="7F6E26C0" w:rsidR="00316C17" w:rsidRPr="00316C17" w:rsidRDefault="00316C17" w:rsidP="00316C17">
      <w:pPr>
        <w:pStyle w:val="ListParagraph"/>
        <w:numPr>
          <w:ilvl w:val="0"/>
          <w:numId w:val="4"/>
        </w:numPr>
        <w:ind w:left="720" w:hanging="720"/>
        <w:rPr>
          <w:b/>
          <w:bCs/>
          <w:color w:val="000000"/>
        </w:rPr>
      </w:pPr>
      <w:r w:rsidRPr="00316C17">
        <w:rPr>
          <w:b/>
          <w:bCs/>
          <w:color w:val="000000"/>
        </w:rPr>
        <w:t xml:space="preserve">What is the physical, boundary limit of each building on the town-owned lot?       </w:t>
      </w:r>
    </w:p>
    <w:p w14:paraId="1479BF85" w14:textId="1DB50026" w:rsidR="00316C17" w:rsidRDefault="00316C17" w:rsidP="00316C17">
      <w:pPr>
        <w:ind w:left="720"/>
        <w:rPr>
          <w:b/>
          <w:bCs/>
          <w:color w:val="000000"/>
        </w:rPr>
      </w:pPr>
    </w:p>
    <w:p w14:paraId="22AE55E5" w14:textId="6CC28051" w:rsidR="00316C17" w:rsidRDefault="00316C17" w:rsidP="00316C17">
      <w:pPr>
        <w:ind w:left="720"/>
        <w:rPr>
          <w:color w:val="000000"/>
        </w:rPr>
      </w:pPr>
      <w:r>
        <w:rPr>
          <w:color w:val="000000"/>
        </w:rPr>
        <w:t>The library trustees control that land which has been dedicated by the town for library use.  In addition to the library building and its contents, library trustees may also be responsible for improvements such as landscaping, parking and outside reading areas.  Perhaps the minutes of the Board of Selectmen</w:t>
      </w:r>
      <w:r w:rsidR="00AF098A">
        <w:rPr>
          <w:color w:val="000000"/>
        </w:rPr>
        <w:t>’s</w:t>
      </w:r>
      <w:r>
        <w:rPr>
          <w:color w:val="000000"/>
        </w:rPr>
        <w:t xml:space="preserve"> and/or </w:t>
      </w:r>
      <w:r w:rsidR="00AF098A">
        <w:rPr>
          <w:color w:val="000000"/>
        </w:rPr>
        <w:t>Li</w:t>
      </w:r>
      <w:r>
        <w:rPr>
          <w:color w:val="000000"/>
        </w:rPr>
        <w:t xml:space="preserve">brary </w:t>
      </w:r>
      <w:r w:rsidR="00AF098A">
        <w:rPr>
          <w:color w:val="000000"/>
        </w:rPr>
        <w:t>T</w:t>
      </w:r>
      <w:r>
        <w:rPr>
          <w:color w:val="000000"/>
        </w:rPr>
        <w:t>rustee</w:t>
      </w:r>
      <w:r w:rsidR="00AF098A">
        <w:rPr>
          <w:color w:val="000000"/>
        </w:rPr>
        <w:t>s’</w:t>
      </w:r>
      <w:r>
        <w:rPr>
          <w:color w:val="000000"/>
        </w:rPr>
        <w:t xml:space="preserve"> meetings at the time of the construction of the current library could provide some indication of the extent of the property dedicated for library use.  If not, the </w:t>
      </w:r>
      <w:r w:rsidR="00AF098A">
        <w:rPr>
          <w:color w:val="000000"/>
        </w:rPr>
        <w:t>L</w:t>
      </w:r>
      <w:r>
        <w:rPr>
          <w:color w:val="000000"/>
        </w:rPr>
        <w:t xml:space="preserve">ibrary </w:t>
      </w:r>
      <w:r w:rsidR="00AF098A">
        <w:rPr>
          <w:color w:val="000000"/>
        </w:rPr>
        <w:t>T</w:t>
      </w:r>
      <w:r>
        <w:rPr>
          <w:color w:val="000000"/>
        </w:rPr>
        <w:t>rustees authority extends only to that land which has been dedicated to</w:t>
      </w:r>
      <w:r w:rsidR="008236F6">
        <w:rPr>
          <w:color w:val="000000"/>
        </w:rPr>
        <w:t>,</w:t>
      </w:r>
      <w:r>
        <w:rPr>
          <w:color w:val="000000"/>
        </w:rPr>
        <w:t xml:space="preserve"> and </w:t>
      </w:r>
      <w:r w:rsidRPr="00AF098A">
        <w:rPr>
          <w:b/>
          <w:bCs/>
          <w:color w:val="000000"/>
        </w:rPr>
        <w:t>used</w:t>
      </w:r>
      <w:r>
        <w:rPr>
          <w:color w:val="000000"/>
        </w:rPr>
        <w:t xml:space="preserve"> by the trustees for</w:t>
      </w:r>
      <w:r w:rsidR="008236F6">
        <w:rPr>
          <w:color w:val="000000"/>
        </w:rPr>
        <w:t>,</w:t>
      </w:r>
      <w:r>
        <w:rPr>
          <w:color w:val="000000"/>
        </w:rPr>
        <w:t xml:space="preserve"> library purposes.</w:t>
      </w:r>
    </w:p>
    <w:p w14:paraId="51CAB367" w14:textId="77777777" w:rsidR="00316C17" w:rsidRDefault="00316C17" w:rsidP="00316C17">
      <w:pPr>
        <w:ind w:left="720"/>
        <w:rPr>
          <w:color w:val="000000"/>
        </w:rPr>
      </w:pPr>
    </w:p>
    <w:p w14:paraId="3559C57C" w14:textId="4FF9F7CB" w:rsidR="00316C17" w:rsidRDefault="00316C17" w:rsidP="00B7660B">
      <w:pPr>
        <w:rPr>
          <w:b/>
          <w:bCs/>
          <w:color w:val="000000"/>
        </w:rPr>
      </w:pPr>
    </w:p>
    <w:p w14:paraId="43A4071B" w14:textId="1ABF48B4" w:rsidR="00316C17" w:rsidRDefault="00AE5BA4" w:rsidP="00316C17">
      <w:pPr>
        <w:pStyle w:val="ListParagraph"/>
        <w:numPr>
          <w:ilvl w:val="0"/>
          <w:numId w:val="4"/>
        </w:numPr>
        <w:ind w:left="720" w:hanging="720"/>
        <w:rPr>
          <w:b/>
          <w:bCs/>
          <w:color w:val="000000"/>
        </w:rPr>
      </w:pPr>
      <w:r>
        <w:rPr>
          <w:b/>
          <w:bCs/>
          <w:color w:val="000000"/>
        </w:rPr>
        <w:t xml:space="preserve">Which authority, the </w:t>
      </w:r>
      <w:r w:rsidR="008236F6">
        <w:rPr>
          <w:b/>
          <w:bCs/>
          <w:color w:val="000000"/>
        </w:rPr>
        <w:t>L</w:t>
      </w:r>
      <w:r>
        <w:rPr>
          <w:b/>
          <w:bCs/>
          <w:color w:val="000000"/>
        </w:rPr>
        <w:t xml:space="preserve">ibrary </w:t>
      </w:r>
      <w:r w:rsidR="008236F6">
        <w:rPr>
          <w:b/>
          <w:bCs/>
          <w:color w:val="000000"/>
        </w:rPr>
        <w:t>T</w:t>
      </w:r>
      <w:r>
        <w:rPr>
          <w:b/>
          <w:bCs/>
          <w:color w:val="000000"/>
        </w:rPr>
        <w:t xml:space="preserve">rustees or the Town, is responsible for M/L 07,145, including, but not limited to, insurance liability, maintenance, utilities, public assess? </w:t>
      </w:r>
    </w:p>
    <w:p w14:paraId="3006E9CB" w14:textId="78920495" w:rsidR="00AE5BA4" w:rsidRDefault="00AE5BA4" w:rsidP="00AE5BA4">
      <w:pPr>
        <w:rPr>
          <w:b/>
          <w:bCs/>
          <w:color w:val="000000"/>
        </w:rPr>
      </w:pPr>
    </w:p>
    <w:p w14:paraId="0557BC70" w14:textId="1CC0C1F9" w:rsidR="00066DFE" w:rsidRDefault="00AE5BA4" w:rsidP="00AE5BA4">
      <w:pPr>
        <w:ind w:left="720"/>
        <w:rPr>
          <w:color w:val="000000"/>
        </w:rPr>
      </w:pPr>
      <w:r>
        <w:rPr>
          <w:color w:val="000000"/>
        </w:rPr>
        <w:t xml:space="preserve">The </w:t>
      </w:r>
      <w:r w:rsidR="00AF098A">
        <w:rPr>
          <w:color w:val="000000"/>
        </w:rPr>
        <w:t>L</w:t>
      </w:r>
      <w:r>
        <w:rPr>
          <w:color w:val="000000"/>
        </w:rPr>
        <w:t xml:space="preserve">ibrary </w:t>
      </w:r>
      <w:r w:rsidR="00AF098A">
        <w:rPr>
          <w:color w:val="000000"/>
        </w:rPr>
        <w:t>T</w:t>
      </w:r>
      <w:r>
        <w:rPr>
          <w:color w:val="000000"/>
        </w:rPr>
        <w:t>rustees</w:t>
      </w:r>
      <w:r w:rsidR="00066DFE">
        <w:rPr>
          <w:color w:val="000000"/>
        </w:rPr>
        <w:t xml:space="preserve">’ responsibility for insurance, maintenance, utilities and public assess would be limited to the property it controls.  Because the lot is shared by both the Town and the library, some of those responsibilities </w:t>
      </w:r>
      <w:r w:rsidR="00AF098A">
        <w:rPr>
          <w:color w:val="000000"/>
        </w:rPr>
        <w:t>may</w:t>
      </w:r>
      <w:r w:rsidR="00066DFE">
        <w:rPr>
          <w:color w:val="000000"/>
        </w:rPr>
        <w:t xml:space="preserve"> be shared.  I assume that a plan for cost sharing </w:t>
      </w:r>
      <w:r w:rsidR="008236F6">
        <w:rPr>
          <w:color w:val="000000"/>
        </w:rPr>
        <w:t>of</w:t>
      </w:r>
      <w:r w:rsidR="00066DFE">
        <w:rPr>
          <w:color w:val="000000"/>
        </w:rPr>
        <w:t xml:space="preserve"> those responsibilities has been in place since the library was constructed.  While the library may be responsible for some or all of those expenses, the Town has the duty to “annual raise and appropriate a sum of money sufficient to provide and maintain adequate public library service therein or to supplement funds otherwise provided.”  RSA 202-A</w:t>
      </w:r>
      <w:proofErr w:type="gramStart"/>
      <w:r w:rsidR="00066DFE">
        <w:rPr>
          <w:color w:val="000000"/>
        </w:rPr>
        <w:t>:4</w:t>
      </w:r>
      <w:proofErr w:type="gramEnd"/>
      <w:r w:rsidR="00066DFE">
        <w:rPr>
          <w:color w:val="000000"/>
        </w:rPr>
        <w:t>.  Therefore, those expenses may ultimately be the responsibility of the Town.</w:t>
      </w:r>
    </w:p>
    <w:p w14:paraId="518B686D" w14:textId="77777777" w:rsidR="00066DFE" w:rsidRDefault="00066DFE" w:rsidP="00AE5BA4">
      <w:pPr>
        <w:ind w:left="720"/>
        <w:rPr>
          <w:color w:val="000000"/>
        </w:rPr>
      </w:pPr>
    </w:p>
    <w:p w14:paraId="40E16BAE" w14:textId="3FC57F5D" w:rsidR="00356840" w:rsidRPr="00361403" w:rsidRDefault="00361403" w:rsidP="00EC30F3">
      <w:pPr>
        <w:tabs>
          <w:tab w:val="left" w:pos="-1080"/>
          <w:tab w:val="left" w:pos="-720"/>
          <w:tab w:val="left" w:pos="1440"/>
        </w:tabs>
        <w:ind w:left="1440" w:hanging="1440"/>
        <w:rPr>
          <w:rFonts w:ascii="Times New Roman" w:hAnsi="Times New Roman" w:cs="Times New Roman"/>
          <w:color w:val="000000"/>
          <w:sz w:val="16"/>
        </w:rPr>
      </w:pPr>
      <w:r>
        <w:rPr>
          <w:rFonts w:ascii="Times New Roman" w:hAnsi="Times New Roman" w:cs="Times New Roman"/>
          <w:color w:val="000000"/>
          <w:sz w:val="16"/>
        </w:rPr>
        <w:fldChar w:fldCharType="begin"/>
      </w:r>
      <w:r>
        <w:rPr>
          <w:rFonts w:ascii="Times New Roman" w:hAnsi="Times New Roman" w:cs="Times New Roman"/>
          <w:color w:val="000000"/>
          <w:sz w:val="16"/>
        </w:rPr>
        <w:instrText xml:space="preserve"> FILENAME  \p  \* MERGEFORMAT </w:instrText>
      </w:r>
      <w:r>
        <w:rPr>
          <w:rFonts w:ascii="Times New Roman" w:hAnsi="Times New Roman" w:cs="Times New Roman"/>
          <w:color w:val="000000"/>
          <w:sz w:val="16"/>
        </w:rPr>
        <w:fldChar w:fldCharType="separate"/>
      </w:r>
      <w:r w:rsidR="002C05AD">
        <w:rPr>
          <w:rFonts w:ascii="Times New Roman" w:hAnsi="Times New Roman" w:cs="Times New Roman"/>
          <w:noProof/>
          <w:color w:val="000000"/>
          <w:sz w:val="16"/>
        </w:rPr>
        <w:t>G:\D52500\52981\Memos\20191118 Memo Chairman re Library.docx</w:t>
      </w:r>
      <w:r>
        <w:rPr>
          <w:rFonts w:ascii="Times New Roman" w:hAnsi="Times New Roman" w:cs="Times New Roman"/>
          <w:color w:val="000000"/>
          <w:sz w:val="16"/>
        </w:rPr>
        <w:fldChar w:fldCharType="end"/>
      </w:r>
    </w:p>
    <w:sectPr w:rsidR="00356840" w:rsidRPr="00361403" w:rsidSect="00F96F8C">
      <w:headerReference w:type="default" r:id="rId8"/>
      <w:pgSz w:w="12240" w:h="15840" w:code="1"/>
      <w:pgMar w:top="1440" w:right="1440" w:bottom="1440" w:left="144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0B033" w14:textId="77777777" w:rsidR="00214242" w:rsidRDefault="00214242" w:rsidP="003F2D13">
      <w:r>
        <w:separator/>
      </w:r>
    </w:p>
  </w:endnote>
  <w:endnote w:type="continuationSeparator" w:id="0">
    <w:p w14:paraId="43E87A54" w14:textId="77777777" w:rsidR="00214242" w:rsidRDefault="00214242" w:rsidP="003F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9982E" w14:textId="77777777" w:rsidR="00214242" w:rsidRDefault="00214242" w:rsidP="003F2D13">
      <w:r>
        <w:separator/>
      </w:r>
    </w:p>
  </w:footnote>
  <w:footnote w:type="continuationSeparator" w:id="0">
    <w:p w14:paraId="5081C84A" w14:textId="77777777" w:rsidR="00214242" w:rsidRDefault="00214242" w:rsidP="003F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808080" w:themeColor="background1" w:themeShade="80"/>
        <w:spacing w:val="60"/>
      </w:rPr>
      <w:id w:val="432945874"/>
      <w:docPartObj>
        <w:docPartGallery w:val="Page Numbers (Top of Page)"/>
        <w:docPartUnique/>
      </w:docPartObj>
    </w:sdtPr>
    <w:sdtEndPr>
      <w:rPr>
        <w:b/>
        <w:bCs/>
        <w:noProof/>
        <w:color w:val="auto"/>
        <w:spacing w:val="0"/>
      </w:rPr>
    </w:sdtEndPr>
    <w:sdtContent>
      <w:p w14:paraId="341628C8" w14:textId="77777777" w:rsidR="00214242" w:rsidRPr="00243AC2" w:rsidRDefault="00214242">
        <w:pPr>
          <w:pStyle w:val="Header"/>
          <w:pBdr>
            <w:bottom w:val="single" w:sz="4" w:space="1" w:color="D9D9D9" w:themeColor="background1" w:themeShade="D9"/>
          </w:pBdr>
          <w:jc w:val="right"/>
          <w:rPr>
            <w:rFonts w:ascii="Times New Roman" w:hAnsi="Times New Roman" w:cs="Times New Roman"/>
            <w:b/>
            <w:bCs/>
          </w:rPr>
        </w:pPr>
        <w:r w:rsidRPr="00243AC2">
          <w:rPr>
            <w:rFonts w:ascii="Times New Roman" w:hAnsi="Times New Roman" w:cs="Times New Roman"/>
            <w:color w:val="808080" w:themeColor="background1" w:themeShade="80"/>
            <w:spacing w:val="60"/>
          </w:rPr>
          <w:t>Page</w:t>
        </w:r>
        <w:r w:rsidRPr="00243AC2">
          <w:rPr>
            <w:rFonts w:ascii="Times New Roman" w:hAnsi="Times New Roman" w:cs="Times New Roman"/>
          </w:rPr>
          <w:t xml:space="preserve"> | </w:t>
        </w:r>
        <w:r w:rsidRPr="00243AC2">
          <w:rPr>
            <w:rFonts w:ascii="Times New Roman" w:hAnsi="Times New Roman" w:cs="Times New Roman"/>
          </w:rPr>
          <w:fldChar w:fldCharType="begin"/>
        </w:r>
        <w:r w:rsidRPr="00243AC2">
          <w:rPr>
            <w:rFonts w:ascii="Times New Roman" w:hAnsi="Times New Roman" w:cs="Times New Roman"/>
          </w:rPr>
          <w:instrText xml:space="preserve"> PAGE   \* MERGEFORMAT </w:instrText>
        </w:r>
        <w:r w:rsidRPr="00243AC2">
          <w:rPr>
            <w:rFonts w:ascii="Times New Roman" w:hAnsi="Times New Roman" w:cs="Times New Roman"/>
          </w:rPr>
          <w:fldChar w:fldCharType="separate"/>
        </w:r>
        <w:r w:rsidR="00457E27" w:rsidRPr="00457E27">
          <w:rPr>
            <w:rFonts w:ascii="Times New Roman" w:hAnsi="Times New Roman" w:cs="Times New Roman"/>
            <w:b/>
            <w:bCs/>
            <w:noProof/>
          </w:rPr>
          <w:t>2</w:t>
        </w:r>
        <w:r w:rsidRPr="00243AC2">
          <w:rPr>
            <w:rFonts w:ascii="Times New Roman" w:hAnsi="Times New Roman" w:cs="Times New Roman"/>
            <w:b/>
            <w:bCs/>
            <w:noProof/>
          </w:rPr>
          <w:fldChar w:fldCharType="end"/>
        </w:r>
      </w:p>
    </w:sdtContent>
  </w:sdt>
  <w:p w14:paraId="51275C4B" w14:textId="77777777" w:rsidR="00214242" w:rsidRDefault="00214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63E7E"/>
    <w:multiLevelType w:val="hybridMultilevel"/>
    <w:tmpl w:val="BAD61D82"/>
    <w:lvl w:ilvl="0" w:tplc="40BA97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643289"/>
    <w:multiLevelType w:val="hybridMultilevel"/>
    <w:tmpl w:val="01FC924A"/>
    <w:lvl w:ilvl="0" w:tplc="CACCB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0E076B"/>
    <w:multiLevelType w:val="hybridMultilevel"/>
    <w:tmpl w:val="F1A4C652"/>
    <w:lvl w:ilvl="0" w:tplc="592ED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546CFA"/>
    <w:multiLevelType w:val="hybridMultilevel"/>
    <w:tmpl w:val="2F2067A0"/>
    <w:lvl w:ilvl="0" w:tplc="236A1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09"/>
    <w:rsid w:val="000132F9"/>
    <w:rsid w:val="000463A1"/>
    <w:rsid w:val="00053B8F"/>
    <w:rsid w:val="00066DFE"/>
    <w:rsid w:val="000B1766"/>
    <w:rsid w:val="000B2E98"/>
    <w:rsid w:val="001043DB"/>
    <w:rsid w:val="00160A8F"/>
    <w:rsid w:val="00174B69"/>
    <w:rsid w:val="001C5BB5"/>
    <w:rsid w:val="001E0F06"/>
    <w:rsid w:val="00214242"/>
    <w:rsid w:val="00243AC2"/>
    <w:rsid w:val="002A2A63"/>
    <w:rsid w:val="002C05AD"/>
    <w:rsid w:val="002D51AE"/>
    <w:rsid w:val="00304807"/>
    <w:rsid w:val="00316C17"/>
    <w:rsid w:val="0035085C"/>
    <w:rsid w:val="0035100C"/>
    <w:rsid w:val="00356840"/>
    <w:rsid w:val="00361403"/>
    <w:rsid w:val="003C40A3"/>
    <w:rsid w:val="003F2D13"/>
    <w:rsid w:val="004247B2"/>
    <w:rsid w:val="00457E27"/>
    <w:rsid w:val="004C3DEF"/>
    <w:rsid w:val="00531348"/>
    <w:rsid w:val="005F2A24"/>
    <w:rsid w:val="006E7D72"/>
    <w:rsid w:val="00765899"/>
    <w:rsid w:val="007D11F2"/>
    <w:rsid w:val="008236F6"/>
    <w:rsid w:val="008D1FE7"/>
    <w:rsid w:val="008F1885"/>
    <w:rsid w:val="00926D09"/>
    <w:rsid w:val="00945602"/>
    <w:rsid w:val="009932E9"/>
    <w:rsid w:val="009C2025"/>
    <w:rsid w:val="009F151B"/>
    <w:rsid w:val="00A0490C"/>
    <w:rsid w:val="00A37638"/>
    <w:rsid w:val="00A37B0E"/>
    <w:rsid w:val="00A56EA9"/>
    <w:rsid w:val="00A96006"/>
    <w:rsid w:val="00AB5058"/>
    <w:rsid w:val="00AE5BA4"/>
    <w:rsid w:val="00AF098A"/>
    <w:rsid w:val="00AF6863"/>
    <w:rsid w:val="00B064F4"/>
    <w:rsid w:val="00B63C0B"/>
    <w:rsid w:val="00B67F1F"/>
    <w:rsid w:val="00B7660B"/>
    <w:rsid w:val="00BB129B"/>
    <w:rsid w:val="00BD3D6B"/>
    <w:rsid w:val="00C71C88"/>
    <w:rsid w:val="00CD7C19"/>
    <w:rsid w:val="00DB7809"/>
    <w:rsid w:val="00DC3EAC"/>
    <w:rsid w:val="00DD73C4"/>
    <w:rsid w:val="00E16FCD"/>
    <w:rsid w:val="00E903D5"/>
    <w:rsid w:val="00EC30F3"/>
    <w:rsid w:val="00ED7164"/>
    <w:rsid w:val="00F30062"/>
    <w:rsid w:val="00F501E3"/>
    <w:rsid w:val="00F96F8C"/>
    <w:rsid w:val="00F9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55A2F"/>
  <w14:defaultImageDpi w14:val="0"/>
  <w15:docId w15:val="{0E3B3EBD-C9F6-465A-B991-56F12D2C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F2D13"/>
    <w:pPr>
      <w:tabs>
        <w:tab w:val="center" w:pos="4680"/>
        <w:tab w:val="right" w:pos="9360"/>
      </w:tabs>
    </w:pPr>
  </w:style>
  <w:style w:type="character" w:customStyle="1" w:styleId="HeaderChar">
    <w:name w:val="Header Char"/>
    <w:basedOn w:val="DefaultParagraphFont"/>
    <w:link w:val="Header"/>
    <w:uiPriority w:val="99"/>
    <w:rsid w:val="003F2D13"/>
    <w:rPr>
      <w:rFonts w:ascii="Book Antiqua" w:hAnsi="Book Antiqua"/>
      <w:sz w:val="24"/>
      <w:szCs w:val="24"/>
    </w:rPr>
  </w:style>
  <w:style w:type="paragraph" w:styleId="Footer">
    <w:name w:val="footer"/>
    <w:basedOn w:val="Normal"/>
    <w:link w:val="FooterChar"/>
    <w:uiPriority w:val="99"/>
    <w:unhideWhenUsed/>
    <w:rsid w:val="003F2D13"/>
    <w:pPr>
      <w:tabs>
        <w:tab w:val="center" w:pos="4680"/>
        <w:tab w:val="right" w:pos="9360"/>
      </w:tabs>
    </w:pPr>
  </w:style>
  <w:style w:type="character" w:customStyle="1" w:styleId="FooterChar">
    <w:name w:val="Footer Char"/>
    <w:basedOn w:val="DefaultParagraphFont"/>
    <w:link w:val="Footer"/>
    <w:uiPriority w:val="99"/>
    <w:rsid w:val="003F2D13"/>
    <w:rPr>
      <w:rFonts w:ascii="Book Antiqua" w:hAnsi="Book Antiqua"/>
      <w:sz w:val="24"/>
      <w:szCs w:val="24"/>
    </w:rPr>
  </w:style>
  <w:style w:type="table" w:styleId="TableGrid">
    <w:name w:val="Table Grid"/>
    <w:basedOn w:val="TableNormal"/>
    <w:uiPriority w:val="59"/>
    <w:rsid w:val="00F50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7C19"/>
    <w:rPr>
      <w:i/>
      <w:iCs/>
    </w:rPr>
  </w:style>
  <w:style w:type="paragraph" w:styleId="BalloonText">
    <w:name w:val="Balloon Text"/>
    <w:basedOn w:val="Normal"/>
    <w:link w:val="BalloonTextChar"/>
    <w:uiPriority w:val="99"/>
    <w:semiHidden/>
    <w:unhideWhenUsed/>
    <w:rsid w:val="00BD3D6B"/>
    <w:rPr>
      <w:rFonts w:ascii="Tahoma" w:hAnsi="Tahoma" w:cs="Tahoma"/>
      <w:sz w:val="16"/>
      <w:szCs w:val="16"/>
    </w:rPr>
  </w:style>
  <w:style w:type="character" w:customStyle="1" w:styleId="BalloonTextChar">
    <w:name w:val="Balloon Text Char"/>
    <w:basedOn w:val="DefaultParagraphFont"/>
    <w:link w:val="BalloonText"/>
    <w:uiPriority w:val="99"/>
    <w:semiHidden/>
    <w:rsid w:val="00BD3D6B"/>
    <w:rPr>
      <w:rFonts w:ascii="Tahoma" w:hAnsi="Tahoma" w:cs="Tahoma"/>
      <w:sz w:val="16"/>
      <w:szCs w:val="16"/>
    </w:rPr>
  </w:style>
  <w:style w:type="character" w:styleId="Hyperlink">
    <w:name w:val="Hyperlink"/>
    <w:basedOn w:val="DefaultParagraphFont"/>
    <w:uiPriority w:val="99"/>
    <w:semiHidden/>
    <w:unhideWhenUsed/>
    <w:rsid w:val="00DC3EAC"/>
    <w:rPr>
      <w:color w:val="0000FF"/>
      <w:u w:val="single"/>
    </w:rPr>
  </w:style>
  <w:style w:type="character" w:customStyle="1" w:styleId="st">
    <w:name w:val="st"/>
    <w:basedOn w:val="DefaultParagraphFont"/>
    <w:rsid w:val="00DC3EAC"/>
  </w:style>
  <w:style w:type="paragraph" w:styleId="ListParagraph">
    <w:name w:val="List Paragraph"/>
    <w:basedOn w:val="Normal"/>
    <w:uiPriority w:val="34"/>
    <w:qFormat/>
    <w:rsid w:val="00053B8F"/>
    <w:pPr>
      <w:ind w:left="720"/>
      <w:contextualSpacing/>
    </w:pPr>
  </w:style>
  <w:style w:type="paragraph" w:styleId="FootnoteText">
    <w:name w:val="footnote text"/>
    <w:basedOn w:val="Normal"/>
    <w:link w:val="FootnoteTextChar"/>
    <w:uiPriority w:val="99"/>
    <w:semiHidden/>
    <w:unhideWhenUsed/>
    <w:rsid w:val="006E7D72"/>
    <w:rPr>
      <w:sz w:val="20"/>
      <w:szCs w:val="20"/>
    </w:rPr>
  </w:style>
  <w:style w:type="character" w:customStyle="1" w:styleId="FootnoteTextChar">
    <w:name w:val="Footnote Text Char"/>
    <w:basedOn w:val="DefaultParagraphFont"/>
    <w:link w:val="FootnoteText"/>
    <w:uiPriority w:val="99"/>
    <w:semiHidden/>
    <w:rsid w:val="006E7D72"/>
    <w:rPr>
      <w:rFonts w:ascii="Book Antiqua" w:hAnsi="Book Antiqu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21CFD-7EE2-4408-8EA9-252665EB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Schaller</dc:creator>
  <cp:lastModifiedBy>Elizabeth Flot</cp:lastModifiedBy>
  <cp:revision>2</cp:revision>
  <cp:lastPrinted>2019-02-04T16:28:00Z</cp:lastPrinted>
  <dcterms:created xsi:type="dcterms:W3CDTF">2020-06-18T14:24:00Z</dcterms:created>
  <dcterms:modified xsi:type="dcterms:W3CDTF">2020-06-18T14:24:00Z</dcterms:modified>
</cp:coreProperties>
</file>